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99FF5" w14:textId="51F05595" w:rsidR="007A13D1" w:rsidRPr="00C92601" w:rsidRDefault="007A13D1" w:rsidP="007A13D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nl-NL"/>
        </w:rPr>
      </w:pPr>
      <w:r w:rsidRPr="00C92601">
        <w:rPr>
          <w:rFonts w:ascii="Arial" w:eastAsia="Times New Roman" w:hAnsi="Arial" w:cs="Arial"/>
          <w:b/>
          <w:sz w:val="20"/>
          <w:szCs w:val="20"/>
          <w:lang w:val="nl-NL"/>
        </w:rPr>
        <w:t xml:space="preserve">Op </w:t>
      </w:r>
      <w:r w:rsidR="0076333B">
        <w:rPr>
          <w:rFonts w:ascii="Arial" w:eastAsia="Times New Roman" w:hAnsi="Arial" w:cs="Arial"/>
          <w:b/>
          <w:sz w:val="20"/>
          <w:szCs w:val="20"/>
          <w:lang w:val="nl-NL"/>
        </w:rPr>
        <w:t>9</w:t>
      </w:r>
      <w:r w:rsidR="00806727" w:rsidRPr="00C92601">
        <w:rPr>
          <w:rFonts w:ascii="Arial" w:eastAsia="Times New Roman" w:hAnsi="Arial" w:cs="Arial"/>
          <w:b/>
          <w:sz w:val="20"/>
          <w:szCs w:val="20"/>
          <w:lang w:val="nl-NL"/>
        </w:rPr>
        <w:t xml:space="preserve"> </w:t>
      </w:r>
      <w:r w:rsidR="007333B9">
        <w:rPr>
          <w:rFonts w:ascii="Arial" w:eastAsia="Times New Roman" w:hAnsi="Arial" w:cs="Arial"/>
          <w:b/>
          <w:sz w:val="20"/>
          <w:szCs w:val="20"/>
          <w:lang w:val="nl-NL"/>
        </w:rPr>
        <w:t>febr</w:t>
      </w:r>
      <w:r w:rsidR="00806727" w:rsidRPr="00C92601">
        <w:rPr>
          <w:rFonts w:ascii="Arial" w:eastAsia="Times New Roman" w:hAnsi="Arial" w:cs="Arial"/>
          <w:b/>
          <w:sz w:val="20"/>
          <w:szCs w:val="20"/>
          <w:lang w:val="nl-NL"/>
        </w:rPr>
        <w:t>uari</w:t>
      </w:r>
      <w:r w:rsidRPr="00C92601">
        <w:rPr>
          <w:rFonts w:ascii="Arial" w:eastAsia="Times New Roman" w:hAnsi="Arial" w:cs="Arial"/>
          <w:b/>
          <w:sz w:val="20"/>
          <w:szCs w:val="20"/>
          <w:lang w:val="nl-NL"/>
        </w:rPr>
        <w:t xml:space="preserve"> 20</w:t>
      </w:r>
      <w:r w:rsidR="007333B9">
        <w:rPr>
          <w:rFonts w:ascii="Arial" w:eastAsia="Times New Roman" w:hAnsi="Arial" w:cs="Arial"/>
          <w:b/>
          <w:sz w:val="20"/>
          <w:szCs w:val="20"/>
          <w:lang w:val="nl-NL"/>
        </w:rPr>
        <w:t>22</w:t>
      </w:r>
      <w:r w:rsidRPr="00C92601">
        <w:rPr>
          <w:rFonts w:ascii="Arial" w:eastAsia="Times New Roman" w:hAnsi="Arial" w:cs="Arial"/>
          <w:b/>
          <w:sz w:val="20"/>
          <w:szCs w:val="20"/>
          <w:lang w:val="nl-NL"/>
        </w:rPr>
        <w:t xml:space="preserve"> organiseert Sanquin de </w:t>
      </w:r>
      <w:proofErr w:type="spellStart"/>
      <w:r w:rsidRPr="00C92601">
        <w:rPr>
          <w:rFonts w:ascii="Arial" w:eastAsia="Times New Roman" w:hAnsi="Arial" w:cs="Arial"/>
          <w:b/>
          <w:sz w:val="20"/>
          <w:szCs w:val="20"/>
          <w:lang w:val="nl-NL"/>
        </w:rPr>
        <w:t>Sanquinavond</w:t>
      </w:r>
      <w:proofErr w:type="spellEnd"/>
      <w:r w:rsidR="007333B9">
        <w:rPr>
          <w:rFonts w:ascii="Arial" w:eastAsia="Times New Roman" w:hAnsi="Arial" w:cs="Arial"/>
          <w:b/>
          <w:sz w:val="20"/>
          <w:szCs w:val="20"/>
          <w:lang w:val="nl-NL"/>
        </w:rPr>
        <w:t xml:space="preserve"> </w:t>
      </w:r>
    </w:p>
    <w:p w14:paraId="6F1A40CF" w14:textId="77777777" w:rsidR="007A13D1" w:rsidRPr="00C92601" w:rsidRDefault="007A13D1" w:rsidP="007A13D1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/>
        </w:rPr>
      </w:pPr>
    </w:p>
    <w:p w14:paraId="5D3537FD" w14:textId="77777777" w:rsidR="007A13D1" w:rsidRDefault="007A13D1" w:rsidP="007A13D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nl-NL"/>
        </w:rPr>
      </w:pPr>
      <w:r w:rsidRPr="00C92601">
        <w:rPr>
          <w:rFonts w:ascii="Arial" w:eastAsia="Times New Roman" w:hAnsi="Arial" w:cs="Arial"/>
          <w:b/>
          <w:sz w:val="20"/>
          <w:szCs w:val="20"/>
          <w:lang w:val="nl-NL"/>
        </w:rPr>
        <w:t>‘</w:t>
      </w:r>
      <w:proofErr w:type="spellStart"/>
      <w:r w:rsidR="007C662E" w:rsidRPr="00C92601">
        <w:rPr>
          <w:rFonts w:ascii="Arial" w:eastAsia="Times New Roman" w:hAnsi="Arial" w:cs="Arial"/>
          <w:b/>
          <w:sz w:val="20"/>
          <w:szCs w:val="20"/>
          <w:lang w:val="nl-NL"/>
        </w:rPr>
        <w:t>I</w:t>
      </w:r>
      <w:r w:rsidR="00B55D38">
        <w:rPr>
          <w:rFonts w:ascii="Arial" w:eastAsia="Times New Roman" w:hAnsi="Arial" w:cs="Arial"/>
          <w:b/>
          <w:sz w:val="20"/>
          <w:szCs w:val="20"/>
          <w:lang w:val="nl-NL"/>
        </w:rPr>
        <w:t>mmunohematologische</w:t>
      </w:r>
      <w:proofErr w:type="spellEnd"/>
      <w:r w:rsidR="00B55D38">
        <w:rPr>
          <w:rFonts w:ascii="Arial" w:eastAsia="Times New Roman" w:hAnsi="Arial" w:cs="Arial"/>
          <w:b/>
          <w:sz w:val="20"/>
          <w:szCs w:val="20"/>
          <w:lang w:val="nl-NL"/>
        </w:rPr>
        <w:t xml:space="preserve"> diagnostiek’</w:t>
      </w:r>
    </w:p>
    <w:p w14:paraId="5DB1C93D" w14:textId="77777777" w:rsidR="00B55D38" w:rsidRDefault="00B55D38" w:rsidP="007A13D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nl-NL"/>
        </w:rPr>
      </w:pPr>
    </w:p>
    <w:p w14:paraId="08820B52" w14:textId="46D499C4" w:rsidR="00B55D38" w:rsidRPr="00B55D38" w:rsidRDefault="00E5417E" w:rsidP="00B55D38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  <w:r>
        <w:rPr>
          <w:rFonts w:ascii="Arial" w:eastAsia="Times New Roman" w:hAnsi="Arial" w:cs="Arial"/>
          <w:sz w:val="20"/>
          <w:szCs w:val="20"/>
          <w:lang w:val="nl-NL"/>
        </w:rPr>
        <w:t xml:space="preserve">Een </w:t>
      </w:r>
      <w:proofErr w:type="spellStart"/>
      <w:r w:rsidR="00524161">
        <w:rPr>
          <w:rFonts w:ascii="Arial" w:eastAsia="Times New Roman" w:hAnsi="Arial" w:cs="Arial"/>
          <w:sz w:val="20"/>
          <w:szCs w:val="20"/>
          <w:lang w:val="nl-NL"/>
        </w:rPr>
        <w:t>Sanquin</w:t>
      </w:r>
      <w:r>
        <w:rPr>
          <w:rFonts w:ascii="Arial" w:eastAsia="Times New Roman" w:hAnsi="Arial" w:cs="Arial"/>
          <w:sz w:val="20"/>
          <w:szCs w:val="20"/>
          <w:lang w:val="nl-NL"/>
        </w:rPr>
        <w:t>avond</w:t>
      </w:r>
      <w:proofErr w:type="spellEnd"/>
      <w:r>
        <w:rPr>
          <w:rFonts w:ascii="Arial" w:eastAsia="Times New Roman" w:hAnsi="Arial" w:cs="Arial"/>
          <w:sz w:val="20"/>
          <w:szCs w:val="20"/>
          <w:lang w:val="nl-NL"/>
        </w:rPr>
        <w:t xml:space="preserve"> vol </w:t>
      </w:r>
      <w:proofErr w:type="spellStart"/>
      <w:r>
        <w:rPr>
          <w:rFonts w:ascii="Arial" w:eastAsia="Times New Roman" w:hAnsi="Arial" w:cs="Arial"/>
          <w:sz w:val="20"/>
          <w:szCs w:val="20"/>
          <w:lang w:val="nl-NL"/>
        </w:rPr>
        <w:t>Immunohematologische</w:t>
      </w:r>
      <w:proofErr w:type="spellEnd"/>
      <w:r>
        <w:rPr>
          <w:rFonts w:ascii="Arial" w:eastAsia="Times New Roman" w:hAnsi="Arial" w:cs="Arial"/>
          <w:sz w:val="20"/>
          <w:szCs w:val="20"/>
          <w:lang w:val="nl-NL"/>
        </w:rPr>
        <w:t xml:space="preserve"> c</w:t>
      </w:r>
      <w:r w:rsidR="00B55D38" w:rsidRPr="00B55D38">
        <w:rPr>
          <w:rFonts w:ascii="Arial" w:eastAsia="Times New Roman" w:hAnsi="Arial" w:cs="Arial"/>
          <w:sz w:val="20"/>
          <w:szCs w:val="20"/>
          <w:lang w:val="nl-NL"/>
        </w:rPr>
        <w:t xml:space="preserve">asuïstiek </w:t>
      </w:r>
      <w:r w:rsidR="00524161">
        <w:rPr>
          <w:rFonts w:ascii="Arial" w:eastAsia="Times New Roman" w:hAnsi="Arial" w:cs="Arial"/>
          <w:sz w:val="20"/>
          <w:szCs w:val="20"/>
          <w:lang w:val="nl-NL"/>
        </w:rPr>
        <w:t>van</w:t>
      </w:r>
      <w:r w:rsidR="00B55D38">
        <w:rPr>
          <w:rFonts w:ascii="Arial" w:eastAsia="Times New Roman" w:hAnsi="Arial" w:cs="Arial"/>
          <w:sz w:val="20"/>
          <w:szCs w:val="20"/>
          <w:lang w:val="nl-NL"/>
        </w:rPr>
        <w:t xml:space="preserve">uit </w:t>
      </w:r>
      <w:r w:rsidR="00524161">
        <w:rPr>
          <w:rFonts w:ascii="Arial" w:eastAsia="Times New Roman" w:hAnsi="Arial" w:cs="Arial"/>
          <w:sz w:val="20"/>
          <w:szCs w:val="20"/>
          <w:lang w:val="nl-NL"/>
        </w:rPr>
        <w:t xml:space="preserve">ieders’ </w:t>
      </w:r>
      <w:r w:rsidR="00D564F4">
        <w:rPr>
          <w:rFonts w:ascii="Arial" w:eastAsia="Times New Roman" w:hAnsi="Arial" w:cs="Arial"/>
          <w:sz w:val="20"/>
          <w:szCs w:val="20"/>
          <w:lang w:val="nl-NL"/>
        </w:rPr>
        <w:t>dagelijkse praktijk</w:t>
      </w:r>
      <w:r w:rsidR="00524161">
        <w:rPr>
          <w:rFonts w:ascii="Arial" w:eastAsia="Times New Roman" w:hAnsi="Arial" w:cs="Arial"/>
          <w:sz w:val="20"/>
          <w:szCs w:val="20"/>
          <w:lang w:val="nl-NL"/>
        </w:rPr>
        <w:t xml:space="preserve">, waar we afgelopen jaar met diverse inzendende laboratoria aan hebben gewerkt. </w:t>
      </w:r>
      <w:r w:rsidR="00B55D38" w:rsidRPr="00B55D38">
        <w:rPr>
          <w:rFonts w:ascii="Arial" w:eastAsia="Times New Roman" w:hAnsi="Arial" w:cs="Arial"/>
          <w:sz w:val="20"/>
          <w:szCs w:val="20"/>
          <w:lang w:val="nl-NL"/>
        </w:rPr>
        <w:t xml:space="preserve">Graag </w:t>
      </w:r>
      <w:r>
        <w:rPr>
          <w:rFonts w:ascii="Arial" w:eastAsia="Times New Roman" w:hAnsi="Arial" w:cs="Arial"/>
          <w:sz w:val="20"/>
          <w:szCs w:val="20"/>
          <w:lang w:val="nl-NL"/>
        </w:rPr>
        <w:t xml:space="preserve">nemen we </w:t>
      </w:r>
      <w:r w:rsidR="00524161">
        <w:rPr>
          <w:rFonts w:ascii="Arial" w:eastAsia="Times New Roman" w:hAnsi="Arial" w:cs="Arial"/>
          <w:sz w:val="20"/>
          <w:szCs w:val="20"/>
          <w:lang w:val="nl-NL"/>
        </w:rPr>
        <w:t xml:space="preserve">op deze </w:t>
      </w:r>
      <w:proofErr w:type="spellStart"/>
      <w:r w:rsidR="00524161">
        <w:rPr>
          <w:rFonts w:ascii="Arial" w:eastAsia="Times New Roman" w:hAnsi="Arial" w:cs="Arial"/>
          <w:sz w:val="20"/>
          <w:szCs w:val="20"/>
          <w:lang w:val="nl-NL"/>
        </w:rPr>
        <w:t>Sanquinavond</w:t>
      </w:r>
      <w:proofErr w:type="spellEnd"/>
      <w:r w:rsidR="00524161">
        <w:rPr>
          <w:rFonts w:ascii="Arial" w:eastAsia="Times New Roman" w:hAnsi="Arial" w:cs="Arial"/>
          <w:sz w:val="20"/>
          <w:szCs w:val="20"/>
          <w:lang w:val="nl-N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nl-NL"/>
        </w:rPr>
        <w:t xml:space="preserve">iedereen </w:t>
      </w:r>
      <w:r w:rsidR="00524161">
        <w:rPr>
          <w:rFonts w:ascii="Arial" w:eastAsia="Times New Roman" w:hAnsi="Arial" w:cs="Arial"/>
          <w:sz w:val="20"/>
          <w:szCs w:val="20"/>
          <w:lang w:val="nl-NL"/>
        </w:rPr>
        <w:t xml:space="preserve">weer </w:t>
      </w:r>
      <w:r>
        <w:rPr>
          <w:rFonts w:ascii="Arial" w:eastAsia="Times New Roman" w:hAnsi="Arial" w:cs="Arial"/>
          <w:sz w:val="20"/>
          <w:szCs w:val="20"/>
          <w:lang w:val="nl-NL"/>
        </w:rPr>
        <w:t>mee bij het oplossen van e</w:t>
      </w:r>
      <w:r w:rsidR="00B55D38" w:rsidRPr="00B55D38">
        <w:rPr>
          <w:rFonts w:ascii="Arial" w:eastAsia="Times New Roman" w:hAnsi="Arial" w:cs="Arial"/>
          <w:sz w:val="20"/>
          <w:szCs w:val="20"/>
          <w:lang w:val="nl-NL"/>
        </w:rPr>
        <w:t>en aantal intrigerende vraagstukken</w:t>
      </w:r>
      <w:r>
        <w:rPr>
          <w:rFonts w:ascii="Arial" w:eastAsia="Times New Roman" w:hAnsi="Arial" w:cs="Arial"/>
          <w:sz w:val="20"/>
          <w:szCs w:val="20"/>
          <w:lang w:val="nl-NL"/>
        </w:rPr>
        <w:t>.</w:t>
      </w:r>
      <w:r w:rsidR="00B55D38" w:rsidRPr="00B55D38">
        <w:rPr>
          <w:rFonts w:ascii="Arial" w:eastAsia="Times New Roman" w:hAnsi="Arial" w:cs="Arial"/>
          <w:sz w:val="20"/>
          <w:szCs w:val="20"/>
          <w:lang w:val="nl-NL"/>
        </w:rPr>
        <w:t xml:space="preserve"> </w:t>
      </w:r>
      <w:r w:rsidRPr="00E5417E">
        <w:rPr>
          <w:rFonts w:ascii="Arial" w:eastAsia="Times New Roman" w:hAnsi="Arial" w:cs="Arial"/>
          <w:sz w:val="20"/>
          <w:szCs w:val="20"/>
          <w:lang w:val="nl-NL"/>
        </w:rPr>
        <w:t xml:space="preserve">Dat </w:t>
      </w:r>
      <w:r w:rsidR="00524161">
        <w:rPr>
          <w:rFonts w:ascii="Arial" w:eastAsia="Times New Roman" w:hAnsi="Arial" w:cs="Arial"/>
          <w:sz w:val="20"/>
          <w:szCs w:val="20"/>
          <w:lang w:val="nl-NL"/>
        </w:rPr>
        <w:t>zal</w:t>
      </w:r>
      <w:r w:rsidRPr="00E5417E">
        <w:rPr>
          <w:rFonts w:ascii="Arial" w:eastAsia="Times New Roman" w:hAnsi="Arial" w:cs="Arial"/>
          <w:sz w:val="20"/>
          <w:szCs w:val="20"/>
          <w:lang w:val="nl-NL"/>
        </w:rPr>
        <w:t xml:space="preserve"> velen als muziek in de oren</w:t>
      </w:r>
      <w:r w:rsidR="00524161">
        <w:rPr>
          <w:rFonts w:ascii="Arial" w:eastAsia="Times New Roman" w:hAnsi="Arial" w:cs="Arial"/>
          <w:sz w:val="20"/>
          <w:szCs w:val="20"/>
          <w:lang w:val="nl-NL"/>
        </w:rPr>
        <w:t xml:space="preserve"> klinken</w:t>
      </w:r>
      <w:r w:rsidRPr="00E5417E">
        <w:rPr>
          <w:rFonts w:ascii="Arial" w:eastAsia="Times New Roman" w:hAnsi="Arial" w:cs="Arial"/>
          <w:sz w:val="20"/>
          <w:szCs w:val="20"/>
          <w:lang w:val="nl-NL"/>
        </w:rPr>
        <w:t>!</w:t>
      </w:r>
    </w:p>
    <w:p w14:paraId="7FF8FA50" w14:textId="77777777" w:rsidR="007A13D1" w:rsidRPr="00C92601" w:rsidRDefault="007A13D1" w:rsidP="007A13D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nl-NL"/>
        </w:rPr>
      </w:pPr>
    </w:p>
    <w:p w14:paraId="0DA7D1BE" w14:textId="4F63E224" w:rsidR="007A13D1" w:rsidRDefault="007A13D1" w:rsidP="007C662E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lang w:val="nl-NL" w:eastAsia="nl-NL"/>
        </w:rPr>
      </w:pPr>
      <w:r w:rsidRPr="00C92601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>De discussieleider</w:t>
      </w:r>
      <w:r w:rsidR="00283B73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 xml:space="preserve"> van deze </w:t>
      </w:r>
      <w:r w:rsidR="00283B73" w:rsidRPr="00425A64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 xml:space="preserve">avond </w:t>
      </w:r>
      <w:r w:rsidR="00766689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>is</w:t>
      </w:r>
      <w:r w:rsidR="00283B73" w:rsidRPr="00425A64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 xml:space="preserve"> dr Claudia Folman, </w:t>
      </w:r>
      <w:r w:rsidR="00B201CC" w:rsidRPr="00425A64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 xml:space="preserve">manager </w:t>
      </w:r>
      <w:proofErr w:type="spellStart"/>
      <w:r w:rsidR="00B201CC" w:rsidRPr="00425A64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>Immunohematologische</w:t>
      </w:r>
      <w:proofErr w:type="spellEnd"/>
      <w:r w:rsidR="00283B73" w:rsidRPr="00425A64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 xml:space="preserve"> Diagnostiek, Sanquin Diagnostiek</w:t>
      </w:r>
      <w:r w:rsidR="00766689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>, bijgestaan door haar team voor vraag en antwoord via de chat.</w:t>
      </w:r>
    </w:p>
    <w:p w14:paraId="7A26111B" w14:textId="77777777" w:rsidR="00541AF5" w:rsidRDefault="00541AF5" w:rsidP="007C662E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lang w:val="nl-NL" w:eastAsia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39"/>
        <w:gridCol w:w="7848"/>
      </w:tblGrid>
      <w:tr w:rsidR="007A13D1" w:rsidRPr="0076333B" w14:paraId="0FFA6423" w14:textId="77777777" w:rsidTr="007C662E">
        <w:trPr>
          <w:trHeight w:val="535"/>
        </w:trPr>
        <w:tc>
          <w:tcPr>
            <w:tcW w:w="1139" w:type="dxa"/>
            <w:shd w:val="clear" w:color="auto" w:fill="auto"/>
          </w:tcPr>
          <w:p w14:paraId="216B23A9" w14:textId="77777777" w:rsidR="007A13D1" w:rsidRPr="00C92601" w:rsidRDefault="007A13D1" w:rsidP="00B1410E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 w:rsidRPr="00C92601">
              <w:rPr>
                <w:rFonts w:ascii="Arial" w:hAnsi="Arial" w:cs="Arial"/>
                <w:b/>
                <w:bCs/>
                <w:sz w:val="20"/>
                <w:szCs w:val="20"/>
              </w:rPr>
              <w:t>Tijd</w:t>
            </w:r>
            <w:proofErr w:type="spellEnd"/>
            <w:r w:rsidRPr="00C9260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48" w:type="dxa"/>
            <w:shd w:val="clear" w:color="auto" w:fill="auto"/>
          </w:tcPr>
          <w:p w14:paraId="2643BEC5" w14:textId="19DBBE1B" w:rsidR="007A13D1" w:rsidRPr="00C92601" w:rsidRDefault="007A13D1" w:rsidP="00B141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92601">
              <w:rPr>
                <w:rFonts w:ascii="Arial" w:hAnsi="Arial" w:cs="Arial"/>
                <w:sz w:val="20"/>
                <w:szCs w:val="20"/>
                <w:lang w:val="nl-NL"/>
              </w:rPr>
              <w:t xml:space="preserve">Vanaf </w:t>
            </w:r>
            <w:r w:rsidR="000E377D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15</w:t>
            </w:r>
            <w:r w:rsidRPr="00C92601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.</w:t>
            </w:r>
            <w:r w:rsidR="000E377D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45</w:t>
            </w:r>
            <w:r w:rsidRPr="00C92601">
              <w:rPr>
                <w:rFonts w:ascii="Arial" w:hAnsi="Arial" w:cs="Arial"/>
                <w:sz w:val="20"/>
                <w:szCs w:val="20"/>
                <w:lang w:val="nl-NL"/>
              </w:rPr>
              <w:t xml:space="preserve"> uur </w:t>
            </w:r>
            <w:r w:rsidR="000E377D">
              <w:rPr>
                <w:rFonts w:ascii="Arial" w:hAnsi="Arial" w:cs="Arial"/>
                <w:sz w:val="20"/>
                <w:szCs w:val="20"/>
                <w:lang w:val="nl-NL"/>
              </w:rPr>
              <w:t xml:space="preserve">kan worden ingelogd, </w:t>
            </w:r>
            <w:r w:rsidRPr="00C92601">
              <w:rPr>
                <w:rFonts w:ascii="Arial" w:hAnsi="Arial" w:cs="Arial"/>
                <w:sz w:val="20"/>
                <w:szCs w:val="20"/>
                <w:lang w:val="nl-NL"/>
              </w:rPr>
              <w:t xml:space="preserve">start programma </w:t>
            </w:r>
            <w:r w:rsidRPr="00C92601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16.</w:t>
            </w:r>
            <w:r w:rsidR="000E377D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0</w:t>
            </w:r>
            <w:r w:rsidRPr="00C92601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 xml:space="preserve">0 </w:t>
            </w:r>
            <w:r w:rsidRPr="00C92601">
              <w:rPr>
                <w:rFonts w:ascii="Arial" w:hAnsi="Arial" w:cs="Arial"/>
                <w:sz w:val="20"/>
                <w:szCs w:val="20"/>
                <w:lang w:val="nl-NL"/>
              </w:rPr>
              <w:t xml:space="preserve">uur, einde </w:t>
            </w:r>
            <w:r w:rsidR="000E377D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18</w:t>
            </w:r>
            <w:r w:rsidR="00D564F4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.</w:t>
            </w:r>
            <w:r w:rsidR="00766689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30</w:t>
            </w:r>
            <w:r w:rsidRPr="00C92601">
              <w:rPr>
                <w:rFonts w:ascii="Arial" w:hAnsi="Arial" w:cs="Arial"/>
                <w:sz w:val="20"/>
                <w:szCs w:val="20"/>
                <w:lang w:val="nl-NL"/>
              </w:rPr>
              <w:t xml:space="preserve"> uur.</w:t>
            </w:r>
          </w:p>
        </w:tc>
      </w:tr>
      <w:tr w:rsidR="007C662E" w:rsidRPr="007333B9" w14:paraId="01F12330" w14:textId="77777777" w:rsidTr="007C662E">
        <w:tc>
          <w:tcPr>
            <w:tcW w:w="1139" w:type="dxa"/>
            <w:shd w:val="clear" w:color="auto" w:fill="auto"/>
          </w:tcPr>
          <w:p w14:paraId="13E03AA8" w14:textId="77777777" w:rsidR="007C662E" w:rsidRPr="00C92601" w:rsidRDefault="007C662E" w:rsidP="007C662E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 w:rsidRPr="00C92601">
              <w:rPr>
                <w:rFonts w:ascii="Arial" w:hAnsi="Arial" w:cs="Arial"/>
                <w:b/>
                <w:bCs/>
                <w:sz w:val="20"/>
                <w:szCs w:val="20"/>
              </w:rPr>
              <w:t>Locatie</w:t>
            </w:r>
            <w:proofErr w:type="spellEnd"/>
            <w:r w:rsidRPr="00C9260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48" w:type="dxa"/>
            <w:shd w:val="clear" w:color="auto" w:fill="auto"/>
          </w:tcPr>
          <w:p w14:paraId="1C36EB64" w14:textId="4C023B68" w:rsidR="007C662E" w:rsidRPr="00C92601" w:rsidRDefault="007333B9" w:rsidP="007C662E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nl-NL"/>
              </w:rPr>
              <w:t>Online</w:t>
            </w:r>
            <w:r w:rsidR="007C662E" w:rsidRPr="00C92601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</w:p>
        </w:tc>
      </w:tr>
    </w:tbl>
    <w:p w14:paraId="398204B4" w14:textId="77777777" w:rsidR="007A13D1" w:rsidRPr="00C92601" w:rsidRDefault="007A13D1" w:rsidP="007A13D1">
      <w:pPr>
        <w:spacing w:after="0" w:line="240" w:lineRule="auto"/>
        <w:rPr>
          <w:rFonts w:ascii="Arial" w:hAnsi="Arial" w:cs="Arial"/>
          <w:color w:val="333333"/>
          <w:sz w:val="20"/>
          <w:szCs w:val="20"/>
          <w:lang w:val="nl-NL"/>
        </w:rPr>
      </w:pPr>
    </w:p>
    <w:p w14:paraId="4BFB32A0" w14:textId="77777777" w:rsidR="007A13D1" w:rsidRPr="00C92601" w:rsidRDefault="007A13D1" w:rsidP="007A13D1">
      <w:pPr>
        <w:spacing w:after="0" w:line="240" w:lineRule="auto"/>
        <w:rPr>
          <w:rFonts w:ascii="Arial" w:hAnsi="Arial" w:cs="Arial"/>
          <w:b/>
          <w:sz w:val="20"/>
          <w:szCs w:val="20"/>
          <w:lang w:val="nl-NL"/>
        </w:rPr>
      </w:pPr>
      <w:r w:rsidRPr="00C92601">
        <w:rPr>
          <w:rFonts w:ascii="Arial" w:hAnsi="Arial" w:cs="Arial"/>
          <w:b/>
          <w:sz w:val="20"/>
          <w:szCs w:val="20"/>
          <w:lang w:val="nl-NL"/>
        </w:rPr>
        <w:t>Inschrijving</w:t>
      </w:r>
    </w:p>
    <w:p w14:paraId="7ED1F7AB" w14:textId="3D5794A8" w:rsidR="007A13D1" w:rsidRPr="00C92601" w:rsidRDefault="007A13D1" w:rsidP="007A13D1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  <w:r w:rsidRPr="00C92601">
        <w:rPr>
          <w:rFonts w:ascii="Arial" w:hAnsi="Arial" w:cs="Arial"/>
          <w:sz w:val="20"/>
          <w:szCs w:val="20"/>
          <w:lang w:val="nl-NL"/>
        </w:rPr>
        <w:t xml:space="preserve">U kunt zich voor deze </w:t>
      </w:r>
      <w:proofErr w:type="spellStart"/>
      <w:r w:rsidRPr="00C92601">
        <w:rPr>
          <w:rFonts w:ascii="Arial" w:hAnsi="Arial" w:cs="Arial"/>
          <w:sz w:val="20"/>
          <w:szCs w:val="20"/>
          <w:lang w:val="nl-NL"/>
        </w:rPr>
        <w:t>Sanquinavond</w:t>
      </w:r>
      <w:proofErr w:type="spellEnd"/>
      <w:r w:rsidRPr="00C92601">
        <w:rPr>
          <w:rFonts w:ascii="Arial" w:hAnsi="Arial" w:cs="Arial"/>
          <w:sz w:val="20"/>
          <w:szCs w:val="20"/>
          <w:lang w:val="nl-NL"/>
        </w:rPr>
        <w:t xml:space="preserve"> inschrijven via: </w:t>
      </w:r>
      <w:r w:rsidR="0076333B" w:rsidRPr="0076333B">
        <w:fldChar w:fldCharType="begin"/>
      </w:r>
      <w:r w:rsidR="0076333B" w:rsidRPr="0076333B">
        <w:rPr>
          <w:lang w:val="nl-NL"/>
        </w:rPr>
        <w:instrText xml:space="preserve"> HYPERLINK "https://sanquinacademy.nl/aanbod/sanquin-avonden/" </w:instrText>
      </w:r>
      <w:r w:rsidR="0076333B" w:rsidRPr="0076333B">
        <w:fldChar w:fldCharType="separate"/>
      </w:r>
      <w:r w:rsidR="0076333B" w:rsidRPr="0076333B">
        <w:rPr>
          <w:color w:val="0000FF"/>
          <w:u w:val="single"/>
          <w:lang w:val="nl-NL"/>
        </w:rPr>
        <w:t>Sanquinavonden – Sanquin Academy</w:t>
      </w:r>
      <w:r w:rsidR="0076333B" w:rsidRPr="0076333B">
        <w:fldChar w:fldCharType="end"/>
      </w:r>
    </w:p>
    <w:p w14:paraId="58174944" w14:textId="77777777" w:rsidR="007A13D1" w:rsidRPr="00C92601" w:rsidRDefault="007A13D1" w:rsidP="007A13D1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</w:p>
    <w:p w14:paraId="39192F23" w14:textId="77777777" w:rsidR="00F16377" w:rsidRPr="00C92601" w:rsidRDefault="00F16377" w:rsidP="00B756BE">
      <w:pPr>
        <w:spacing w:after="0"/>
        <w:rPr>
          <w:rFonts w:ascii="Arial" w:hAnsi="Arial" w:cs="Arial"/>
          <w:lang w:val="nl-NL"/>
        </w:rPr>
      </w:pPr>
    </w:p>
    <w:p w14:paraId="163222F1" w14:textId="77777777" w:rsidR="007A13D1" w:rsidRPr="00C92601" w:rsidRDefault="007A13D1">
      <w:pPr>
        <w:rPr>
          <w:rFonts w:ascii="Arial" w:hAnsi="Arial" w:cs="Arial"/>
          <w:b/>
          <w:sz w:val="20"/>
          <w:szCs w:val="20"/>
          <w:lang w:val="nl-NL"/>
        </w:rPr>
      </w:pPr>
      <w:r w:rsidRPr="00C92601">
        <w:rPr>
          <w:rFonts w:ascii="Arial" w:hAnsi="Arial" w:cs="Arial"/>
          <w:b/>
          <w:sz w:val="20"/>
          <w:szCs w:val="20"/>
          <w:lang w:val="nl-NL"/>
        </w:rPr>
        <w:t>Programma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608"/>
        <w:gridCol w:w="3844"/>
        <w:gridCol w:w="3615"/>
      </w:tblGrid>
      <w:tr w:rsidR="007A13D1" w:rsidRPr="00C92601" w14:paraId="7D4F4031" w14:textId="77777777" w:rsidTr="00B1410E">
        <w:tc>
          <w:tcPr>
            <w:tcW w:w="1608" w:type="dxa"/>
          </w:tcPr>
          <w:p w14:paraId="1C732722" w14:textId="461F5A0D" w:rsidR="007A13D1" w:rsidRPr="00541AF5" w:rsidRDefault="00425A64" w:rsidP="00B14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014BA1" w:rsidRPr="00541AF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014BA1" w:rsidRPr="00541AF5">
              <w:rPr>
                <w:rFonts w:ascii="Arial" w:hAnsi="Arial" w:cs="Arial"/>
                <w:sz w:val="20"/>
                <w:szCs w:val="20"/>
              </w:rPr>
              <w:t>-16.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44" w:type="dxa"/>
          </w:tcPr>
          <w:p w14:paraId="08B103F2" w14:textId="449E2AEC" w:rsidR="007A13D1" w:rsidRPr="00541AF5" w:rsidRDefault="00425A64" w:rsidP="00B14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Inloggen</w:t>
            </w:r>
          </w:p>
        </w:tc>
        <w:tc>
          <w:tcPr>
            <w:tcW w:w="3615" w:type="dxa"/>
          </w:tcPr>
          <w:p w14:paraId="09F0FE0F" w14:textId="02E17EE6" w:rsidR="007A13D1" w:rsidRPr="00541AF5" w:rsidRDefault="007A13D1" w:rsidP="00EF70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3D1" w:rsidRPr="007333B9" w14:paraId="0B4127DF" w14:textId="77777777" w:rsidTr="00B1410E">
        <w:tc>
          <w:tcPr>
            <w:tcW w:w="1608" w:type="dxa"/>
          </w:tcPr>
          <w:p w14:paraId="645E8139" w14:textId="3AEED6A3" w:rsidR="007A13D1" w:rsidRPr="00541AF5" w:rsidRDefault="00B201CC" w:rsidP="00B14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  <w:r w:rsidR="00425A64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25A64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25A6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44" w:type="dxa"/>
          </w:tcPr>
          <w:p w14:paraId="1890576E" w14:textId="1615E5A6" w:rsidR="007A13D1" w:rsidRPr="00425A64" w:rsidRDefault="00425A64" w:rsidP="00B1410E">
            <w:pPr>
              <w:rPr>
                <w:rFonts w:ascii="Arial" w:hAnsi="Arial" w:cs="Arial"/>
              </w:rPr>
            </w:pPr>
            <w:r w:rsidRPr="00425A64">
              <w:rPr>
                <w:rFonts w:ascii="Arial" w:hAnsi="Arial" w:cs="Arial"/>
              </w:rPr>
              <w:t>Opening</w:t>
            </w:r>
          </w:p>
        </w:tc>
        <w:tc>
          <w:tcPr>
            <w:tcW w:w="3615" w:type="dxa"/>
          </w:tcPr>
          <w:p w14:paraId="7476C3C4" w14:textId="6117CFDE" w:rsidR="00283B73" w:rsidRPr="00E5417E" w:rsidRDefault="00014BA1" w:rsidP="00FD1FD6">
            <w:pPr>
              <w:rPr>
                <w:rFonts w:ascii="Arial" w:hAnsi="Arial" w:cs="Arial"/>
                <w:lang w:val="en-US"/>
              </w:rPr>
            </w:pPr>
            <w:r w:rsidRPr="00E5417E">
              <w:rPr>
                <w:rFonts w:ascii="Arial" w:hAnsi="Arial" w:cs="Arial"/>
                <w:lang w:val="en-US"/>
              </w:rPr>
              <w:t>Claudia Folman</w:t>
            </w:r>
            <w:r w:rsidR="00FD1FD6" w:rsidRPr="00E5417E">
              <w:rPr>
                <w:rFonts w:ascii="Arial" w:hAnsi="Arial" w:cs="Arial"/>
                <w:lang w:val="en-US"/>
              </w:rPr>
              <w:t xml:space="preserve"> manager IHD, Sanquin</w:t>
            </w:r>
          </w:p>
        </w:tc>
      </w:tr>
      <w:tr w:rsidR="00541AF5" w:rsidRPr="007333B9" w14:paraId="4BDEAC39" w14:textId="77777777" w:rsidTr="00B1410E">
        <w:tc>
          <w:tcPr>
            <w:tcW w:w="1608" w:type="dxa"/>
          </w:tcPr>
          <w:p w14:paraId="5DA35E9E" w14:textId="0597CAC9" w:rsidR="00541AF5" w:rsidRPr="00541AF5" w:rsidRDefault="00425A64" w:rsidP="00541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541AF5" w:rsidRPr="00541AF5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41AF5" w:rsidRPr="00541AF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541AF5" w:rsidRPr="00541AF5">
              <w:rPr>
                <w:rFonts w:ascii="Arial" w:hAnsi="Arial" w:cs="Arial"/>
                <w:sz w:val="20"/>
                <w:szCs w:val="20"/>
              </w:rPr>
              <w:t>.25</w:t>
            </w:r>
          </w:p>
        </w:tc>
        <w:tc>
          <w:tcPr>
            <w:tcW w:w="3844" w:type="dxa"/>
          </w:tcPr>
          <w:p w14:paraId="5F71AD9C" w14:textId="67B25109" w:rsidR="00541AF5" w:rsidRPr="00425A64" w:rsidRDefault="00425A64" w:rsidP="00541AF5">
            <w:pPr>
              <w:rPr>
                <w:rFonts w:ascii="Arial" w:hAnsi="Arial" w:cs="Arial"/>
              </w:rPr>
            </w:pPr>
            <w:r w:rsidRPr="00425A64">
              <w:rPr>
                <w:rFonts w:ascii="Arial" w:hAnsi="Arial" w:cs="Arial"/>
                <w:lang w:val="en-US"/>
              </w:rPr>
              <w:t>Running in the family</w:t>
            </w:r>
          </w:p>
        </w:tc>
        <w:tc>
          <w:tcPr>
            <w:tcW w:w="3615" w:type="dxa"/>
          </w:tcPr>
          <w:p w14:paraId="271E2E30" w14:textId="6A266433" w:rsidR="00541AF5" w:rsidRPr="00425A64" w:rsidRDefault="00425A64" w:rsidP="00541AF5">
            <w:pPr>
              <w:rPr>
                <w:rFonts w:ascii="Arial" w:hAnsi="Arial" w:cs="Arial"/>
              </w:rPr>
            </w:pPr>
            <w:r w:rsidRPr="00425A64">
              <w:rPr>
                <w:rFonts w:ascii="Arial" w:hAnsi="Arial" w:cs="Arial"/>
              </w:rPr>
              <w:t>Peter Ligthart</w:t>
            </w:r>
            <w:r w:rsidR="00541AF5" w:rsidRPr="00425A64">
              <w:rPr>
                <w:rFonts w:ascii="Arial" w:hAnsi="Arial" w:cs="Arial"/>
              </w:rPr>
              <w:t>, Sanquin Diagnostiek</w:t>
            </w:r>
            <w:r w:rsidRPr="00425A64">
              <w:rPr>
                <w:rFonts w:ascii="Arial" w:hAnsi="Arial" w:cs="Arial"/>
              </w:rPr>
              <w:t xml:space="preserve"> </w:t>
            </w:r>
          </w:p>
        </w:tc>
      </w:tr>
      <w:tr w:rsidR="00541AF5" w:rsidRPr="007333B9" w14:paraId="5EC743F9" w14:textId="77777777" w:rsidTr="00B1410E">
        <w:tc>
          <w:tcPr>
            <w:tcW w:w="1608" w:type="dxa"/>
          </w:tcPr>
          <w:p w14:paraId="3881D6CE" w14:textId="11C9097D" w:rsidR="00541AF5" w:rsidRPr="00541AF5" w:rsidRDefault="00B201CC" w:rsidP="00541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25A6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.25-1</w:t>
            </w:r>
            <w:r w:rsidR="00425A6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.4</w:t>
            </w:r>
            <w:r w:rsidR="00425A64">
              <w:rPr>
                <w:rFonts w:ascii="Arial" w:hAnsi="Arial" w:cs="Arial"/>
              </w:rPr>
              <w:t>0</w:t>
            </w:r>
          </w:p>
        </w:tc>
        <w:tc>
          <w:tcPr>
            <w:tcW w:w="3844" w:type="dxa"/>
          </w:tcPr>
          <w:p w14:paraId="681A7D57" w14:textId="507BC002" w:rsidR="00541AF5" w:rsidRPr="00425A64" w:rsidRDefault="00425A64" w:rsidP="00541AF5">
            <w:pPr>
              <w:rPr>
                <w:rFonts w:ascii="Arial" w:hAnsi="Arial" w:cs="Arial"/>
              </w:rPr>
            </w:pPr>
            <w:r w:rsidRPr="00425A64">
              <w:rPr>
                <w:rFonts w:ascii="Arial" w:hAnsi="Arial" w:cs="Arial"/>
              </w:rPr>
              <w:t xml:space="preserve">Bombay to </w:t>
            </w:r>
            <w:proofErr w:type="spellStart"/>
            <w:r w:rsidRPr="00425A64">
              <w:rPr>
                <w:rFonts w:ascii="Arial" w:hAnsi="Arial" w:cs="Arial"/>
              </w:rPr>
              <w:t>Punjap</w:t>
            </w:r>
            <w:proofErr w:type="spellEnd"/>
            <w:r w:rsidR="00541AF5" w:rsidRPr="00425A64">
              <w:rPr>
                <w:rFonts w:ascii="Arial" w:hAnsi="Arial" w:cs="Arial"/>
              </w:rPr>
              <w:t>!</w:t>
            </w:r>
          </w:p>
        </w:tc>
        <w:tc>
          <w:tcPr>
            <w:tcW w:w="3615" w:type="dxa"/>
          </w:tcPr>
          <w:p w14:paraId="5B477102" w14:textId="378DD83B" w:rsidR="00541AF5" w:rsidRPr="00425A64" w:rsidRDefault="00425A64" w:rsidP="00541AF5">
            <w:pPr>
              <w:rPr>
                <w:rFonts w:ascii="Arial" w:hAnsi="Arial" w:cs="Arial"/>
              </w:rPr>
            </w:pPr>
            <w:r w:rsidRPr="00425A64">
              <w:rPr>
                <w:rFonts w:ascii="Arial" w:hAnsi="Arial" w:cs="Arial"/>
              </w:rPr>
              <w:t>Amy Veldhuizen</w:t>
            </w:r>
            <w:r w:rsidR="00541AF5" w:rsidRPr="00425A64">
              <w:rPr>
                <w:rFonts w:ascii="Arial" w:hAnsi="Arial" w:cs="Arial"/>
              </w:rPr>
              <w:t xml:space="preserve">, </w:t>
            </w:r>
            <w:r w:rsidRPr="00425A64">
              <w:rPr>
                <w:rFonts w:ascii="Arial" w:hAnsi="Arial" w:cs="Arial"/>
              </w:rPr>
              <w:t>Sanquin Diagnostiek</w:t>
            </w:r>
          </w:p>
        </w:tc>
      </w:tr>
      <w:tr w:rsidR="00541AF5" w:rsidRPr="007333B9" w14:paraId="24ECFCF7" w14:textId="77777777" w:rsidTr="00B1410E">
        <w:tc>
          <w:tcPr>
            <w:tcW w:w="1608" w:type="dxa"/>
          </w:tcPr>
          <w:p w14:paraId="1D879707" w14:textId="166628D8" w:rsidR="00541AF5" w:rsidRPr="00541AF5" w:rsidRDefault="00B201CC" w:rsidP="00541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25A64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.4</w:t>
            </w:r>
            <w:r w:rsidR="00425A6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-1</w:t>
            </w:r>
            <w:r w:rsidR="00425A64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425A6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44" w:type="dxa"/>
          </w:tcPr>
          <w:p w14:paraId="75B9ACC6" w14:textId="7CF9B368" w:rsidR="00541AF5" w:rsidRPr="00425A64" w:rsidRDefault="00425A64" w:rsidP="00B201CC">
            <w:pPr>
              <w:rPr>
                <w:rFonts w:ascii="Arial" w:hAnsi="Arial" w:cs="Arial"/>
              </w:rPr>
            </w:pPr>
            <w:r w:rsidRPr="00425A64">
              <w:rPr>
                <w:rFonts w:ascii="Arial" w:hAnsi="Arial" w:cs="Arial"/>
              </w:rPr>
              <w:t xml:space="preserve">The </w:t>
            </w:r>
            <w:proofErr w:type="spellStart"/>
            <w:r w:rsidRPr="00425A64">
              <w:rPr>
                <w:rFonts w:ascii="Arial" w:hAnsi="Arial" w:cs="Arial"/>
              </w:rPr>
              <w:t>scientist</w:t>
            </w:r>
            <w:proofErr w:type="spellEnd"/>
          </w:p>
        </w:tc>
        <w:tc>
          <w:tcPr>
            <w:tcW w:w="3615" w:type="dxa"/>
          </w:tcPr>
          <w:p w14:paraId="6F2621D6" w14:textId="20474B74" w:rsidR="00541AF5" w:rsidRPr="00425A64" w:rsidRDefault="00425A64" w:rsidP="00D564F4">
            <w:pPr>
              <w:rPr>
                <w:rFonts w:ascii="Arial" w:hAnsi="Arial" w:cs="Arial"/>
              </w:rPr>
            </w:pPr>
            <w:proofErr w:type="spellStart"/>
            <w:r w:rsidRPr="00425A64">
              <w:rPr>
                <w:rFonts w:ascii="Arial" w:hAnsi="Arial" w:cs="Arial"/>
              </w:rPr>
              <w:t>Niegel</w:t>
            </w:r>
            <w:proofErr w:type="spellEnd"/>
            <w:r w:rsidRPr="00425A64">
              <w:rPr>
                <w:rFonts w:ascii="Arial" w:hAnsi="Arial" w:cs="Arial"/>
              </w:rPr>
              <w:t xml:space="preserve"> </w:t>
            </w:r>
            <w:proofErr w:type="spellStart"/>
            <w:r w:rsidRPr="00425A64">
              <w:rPr>
                <w:rFonts w:ascii="Arial" w:hAnsi="Arial" w:cs="Arial"/>
              </w:rPr>
              <w:t>Gijsbertha</w:t>
            </w:r>
            <w:proofErr w:type="spellEnd"/>
            <w:r w:rsidR="00B201CC" w:rsidRPr="00425A64">
              <w:rPr>
                <w:rFonts w:ascii="Arial" w:hAnsi="Arial" w:cs="Arial"/>
              </w:rPr>
              <w:t xml:space="preserve">, Sanquin </w:t>
            </w:r>
            <w:r w:rsidRPr="00425A64">
              <w:rPr>
                <w:rFonts w:ascii="Arial" w:hAnsi="Arial" w:cs="Arial"/>
              </w:rPr>
              <w:t>Diagnostiek</w:t>
            </w:r>
          </w:p>
        </w:tc>
      </w:tr>
      <w:tr w:rsidR="00541AF5" w:rsidRPr="00B201CC" w14:paraId="7AA347E9" w14:textId="77777777" w:rsidTr="00B1410E">
        <w:tc>
          <w:tcPr>
            <w:tcW w:w="1608" w:type="dxa"/>
          </w:tcPr>
          <w:p w14:paraId="32B14AB3" w14:textId="5A1D2B1C" w:rsidR="00541AF5" w:rsidRPr="00541AF5" w:rsidRDefault="00B201CC" w:rsidP="00541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25A64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425A6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25A64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25A6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844" w:type="dxa"/>
          </w:tcPr>
          <w:p w14:paraId="568B8CFE" w14:textId="77777777" w:rsidR="00541AF5" w:rsidRPr="00541AF5" w:rsidRDefault="00541AF5" w:rsidP="00541AF5">
            <w:pPr>
              <w:rPr>
                <w:rFonts w:ascii="Arial" w:hAnsi="Arial" w:cs="Arial"/>
                <w:sz w:val="20"/>
                <w:szCs w:val="20"/>
              </w:rPr>
            </w:pPr>
            <w:r w:rsidRPr="00541AF5">
              <w:rPr>
                <w:rFonts w:ascii="Arial" w:hAnsi="Arial" w:cs="Arial"/>
                <w:sz w:val="20"/>
                <w:szCs w:val="20"/>
              </w:rPr>
              <w:t>Pauze</w:t>
            </w:r>
          </w:p>
        </w:tc>
        <w:tc>
          <w:tcPr>
            <w:tcW w:w="3615" w:type="dxa"/>
          </w:tcPr>
          <w:p w14:paraId="42ACCF8E" w14:textId="77777777" w:rsidR="00541AF5" w:rsidRPr="00541AF5" w:rsidRDefault="00541AF5" w:rsidP="00541A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AF5" w:rsidRPr="0076333B" w14:paraId="0E1E01F5" w14:textId="77777777" w:rsidTr="00B1410E">
        <w:tc>
          <w:tcPr>
            <w:tcW w:w="1608" w:type="dxa"/>
          </w:tcPr>
          <w:p w14:paraId="650AA0DD" w14:textId="71A5FA2F" w:rsidR="00541AF5" w:rsidRPr="00541AF5" w:rsidRDefault="00425A64" w:rsidP="00541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B201CC">
              <w:rPr>
                <w:rFonts w:ascii="Arial" w:hAnsi="Arial" w:cs="Arial"/>
                <w:sz w:val="20"/>
                <w:szCs w:val="20"/>
              </w:rPr>
              <w:t>.</w:t>
            </w:r>
            <w:r w:rsidR="00890444">
              <w:rPr>
                <w:rFonts w:ascii="Arial" w:hAnsi="Arial" w:cs="Arial"/>
                <w:sz w:val="20"/>
                <w:szCs w:val="20"/>
              </w:rPr>
              <w:t>20</w:t>
            </w:r>
            <w:r w:rsidR="00B201CC">
              <w:rPr>
                <w:rFonts w:ascii="Arial" w:hAnsi="Arial" w:cs="Arial"/>
                <w:sz w:val="20"/>
                <w:szCs w:val="20"/>
              </w:rPr>
              <w:t>-1</w:t>
            </w:r>
            <w:r w:rsidR="00890444">
              <w:rPr>
                <w:rFonts w:ascii="Arial" w:hAnsi="Arial" w:cs="Arial"/>
                <w:sz w:val="20"/>
                <w:szCs w:val="20"/>
              </w:rPr>
              <w:t>7</w:t>
            </w:r>
            <w:r w:rsidR="00B201CC">
              <w:rPr>
                <w:rFonts w:ascii="Arial" w:hAnsi="Arial" w:cs="Arial"/>
                <w:sz w:val="20"/>
                <w:szCs w:val="20"/>
              </w:rPr>
              <w:t>.</w:t>
            </w:r>
            <w:r w:rsidR="0089044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844" w:type="dxa"/>
          </w:tcPr>
          <w:p w14:paraId="63CA3BCA" w14:textId="1EC754F9" w:rsidR="00541AF5" w:rsidRPr="00541AF5" w:rsidRDefault="00425A64" w:rsidP="00541AF5">
            <w:pPr>
              <w:rPr>
                <w:rFonts w:ascii="Arial" w:hAnsi="Arial" w:cs="Arial"/>
                <w:sz w:val="20"/>
                <w:szCs w:val="20"/>
              </w:rPr>
            </w:pPr>
            <w:r w:rsidRPr="00425A64">
              <w:rPr>
                <w:rFonts w:ascii="Arial" w:hAnsi="Arial" w:cs="Arial"/>
                <w:sz w:val="20"/>
                <w:szCs w:val="20"/>
              </w:rPr>
              <w:t xml:space="preserve">Chain </w:t>
            </w:r>
            <w:proofErr w:type="spellStart"/>
            <w:r w:rsidRPr="00425A64">
              <w:rPr>
                <w:rFonts w:ascii="Arial" w:hAnsi="Arial" w:cs="Arial"/>
                <w:sz w:val="20"/>
                <w:szCs w:val="20"/>
              </w:rPr>
              <w:t>reaction</w:t>
            </w:r>
            <w:proofErr w:type="spellEnd"/>
          </w:p>
        </w:tc>
        <w:tc>
          <w:tcPr>
            <w:tcW w:w="3615" w:type="dxa"/>
          </w:tcPr>
          <w:p w14:paraId="606497BC" w14:textId="63FD530C" w:rsidR="00541AF5" w:rsidRPr="00AF0575" w:rsidRDefault="00425A64" w:rsidP="00541AF5">
            <w:pPr>
              <w:rPr>
                <w:rFonts w:ascii="Arial" w:hAnsi="Arial" w:cs="Arial"/>
              </w:rPr>
            </w:pPr>
            <w:r w:rsidRPr="00AF0575">
              <w:rPr>
                <w:rFonts w:ascii="Arial" w:hAnsi="Arial" w:cs="Arial"/>
              </w:rPr>
              <w:t>Arjen Albers</w:t>
            </w:r>
            <w:r w:rsidR="00B201CC" w:rsidRPr="00AF0575">
              <w:rPr>
                <w:rFonts w:ascii="Arial" w:hAnsi="Arial" w:cs="Arial"/>
              </w:rPr>
              <w:t xml:space="preserve">, </w:t>
            </w:r>
            <w:r w:rsidR="00766689">
              <w:rPr>
                <w:rFonts w:ascii="Arial" w:hAnsi="Arial" w:cs="Arial"/>
              </w:rPr>
              <w:t xml:space="preserve">Klinische Chemie, </w:t>
            </w:r>
            <w:r w:rsidR="00AF0575" w:rsidRPr="00766689">
              <w:rPr>
                <w:rFonts w:ascii="Arial" w:hAnsi="Arial" w:cs="Arial"/>
              </w:rPr>
              <w:t>LUMC</w:t>
            </w:r>
          </w:p>
        </w:tc>
      </w:tr>
      <w:tr w:rsidR="00890444" w:rsidRPr="00890444" w14:paraId="281B8F6E" w14:textId="77777777" w:rsidTr="00B1410E">
        <w:tc>
          <w:tcPr>
            <w:tcW w:w="1608" w:type="dxa"/>
          </w:tcPr>
          <w:p w14:paraId="303DD4BE" w14:textId="6F9247EC" w:rsidR="00890444" w:rsidRPr="00541AF5" w:rsidRDefault="00890444" w:rsidP="00890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17.40-18.00</w:t>
            </w:r>
          </w:p>
        </w:tc>
        <w:tc>
          <w:tcPr>
            <w:tcW w:w="3844" w:type="dxa"/>
          </w:tcPr>
          <w:p w14:paraId="4F175477" w14:textId="62AAD2A1" w:rsidR="00890444" w:rsidRPr="00541AF5" w:rsidRDefault="00890444" w:rsidP="00890444">
            <w:pPr>
              <w:rPr>
                <w:rFonts w:ascii="Arial" w:hAnsi="Arial" w:cs="Arial"/>
                <w:sz w:val="20"/>
                <w:szCs w:val="20"/>
              </w:rPr>
            </w:pPr>
            <w:r w:rsidRPr="00890444">
              <w:rPr>
                <w:rFonts w:ascii="Arial" w:hAnsi="Arial" w:cs="Arial"/>
                <w:sz w:val="20"/>
                <w:szCs w:val="20"/>
              </w:rPr>
              <w:t xml:space="preserve">Bad </w:t>
            </w:r>
            <w:proofErr w:type="spellStart"/>
            <w:r w:rsidRPr="00890444">
              <w:rPr>
                <w:rFonts w:ascii="Arial" w:hAnsi="Arial" w:cs="Arial"/>
                <w:sz w:val="20"/>
                <w:szCs w:val="20"/>
              </w:rPr>
              <w:t>medicine</w:t>
            </w:r>
            <w:proofErr w:type="spellEnd"/>
          </w:p>
        </w:tc>
        <w:tc>
          <w:tcPr>
            <w:tcW w:w="3615" w:type="dxa"/>
          </w:tcPr>
          <w:p w14:paraId="015EACE5" w14:textId="3B9B8450" w:rsidR="00890444" w:rsidRPr="00890444" w:rsidRDefault="00890444" w:rsidP="00890444">
            <w:pPr>
              <w:rPr>
                <w:rFonts w:ascii="Arial" w:hAnsi="Arial" w:cs="Arial"/>
                <w:sz w:val="20"/>
                <w:szCs w:val="20"/>
              </w:rPr>
            </w:pPr>
            <w:r w:rsidRPr="00890444">
              <w:rPr>
                <w:rFonts w:ascii="Arial" w:hAnsi="Arial" w:cs="Arial"/>
              </w:rPr>
              <w:t xml:space="preserve">Claudia Folman </w:t>
            </w:r>
          </w:p>
        </w:tc>
      </w:tr>
      <w:tr w:rsidR="00890444" w:rsidRPr="007333B9" w14:paraId="4A5A0610" w14:textId="77777777" w:rsidTr="00B1410E">
        <w:tc>
          <w:tcPr>
            <w:tcW w:w="1608" w:type="dxa"/>
          </w:tcPr>
          <w:p w14:paraId="445A3851" w14:textId="5B5452FE" w:rsidR="00890444" w:rsidRPr="00541AF5" w:rsidRDefault="00890444" w:rsidP="00890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18.00-18.20</w:t>
            </w:r>
          </w:p>
        </w:tc>
        <w:tc>
          <w:tcPr>
            <w:tcW w:w="3844" w:type="dxa"/>
          </w:tcPr>
          <w:p w14:paraId="542F5A19" w14:textId="7BCD203E" w:rsidR="00890444" w:rsidRPr="00541AF5" w:rsidRDefault="00890444" w:rsidP="008904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0444">
              <w:rPr>
                <w:rFonts w:ascii="Arial" w:hAnsi="Arial" w:cs="Arial"/>
                <w:sz w:val="20"/>
                <w:szCs w:val="20"/>
              </w:rPr>
              <w:t>Let’s</w:t>
            </w:r>
            <w:proofErr w:type="spellEnd"/>
            <w:r w:rsidRPr="00890444">
              <w:rPr>
                <w:rFonts w:ascii="Arial" w:hAnsi="Arial" w:cs="Arial"/>
                <w:sz w:val="20"/>
                <w:szCs w:val="20"/>
              </w:rPr>
              <w:t xml:space="preserve"> stick </w:t>
            </w:r>
            <w:proofErr w:type="spellStart"/>
            <w:r w:rsidRPr="00890444">
              <w:rPr>
                <w:rFonts w:ascii="Arial" w:hAnsi="Arial" w:cs="Arial"/>
                <w:sz w:val="20"/>
                <w:szCs w:val="20"/>
              </w:rPr>
              <w:t>together</w:t>
            </w:r>
            <w:proofErr w:type="spellEnd"/>
          </w:p>
        </w:tc>
        <w:tc>
          <w:tcPr>
            <w:tcW w:w="3615" w:type="dxa"/>
          </w:tcPr>
          <w:p w14:paraId="1B69F148" w14:textId="04973457" w:rsidR="00890444" w:rsidRPr="00541AF5" w:rsidRDefault="00890444" w:rsidP="00890444">
            <w:pPr>
              <w:rPr>
                <w:rFonts w:ascii="Arial" w:hAnsi="Arial" w:cs="Arial"/>
                <w:sz w:val="20"/>
                <w:szCs w:val="20"/>
              </w:rPr>
            </w:pPr>
            <w:r w:rsidRPr="00890444">
              <w:rPr>
                <w:rFonts w:ascii="Arial" w:hAnsi="Arial" w:cs="Arial"/>
                <w:sz w:val="20"/>
                <w:szCs w:val="20"/>
              </w:rPr>
              <w:t>Sara Baak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25A64">
              <w:rPr>
                <w:rFonts w:ascii="Arial" w:hAnsi="Arial" w:cs="Arial"/>
              </w:rPr>
              <w:t>Sanquin Diagnostiek</w:t>
            </w:r>
          </w:p>
        </w:tc>
      </w:tr>
      <w:tr w:rsidR="00890444" w:rsidRPr="00B201CC" w14:paraId="4F0AD973" w14:textId="77777777" w:rsidTr="00B1410E">
        <w:tc>
          <w:tcPr>
            <w:tcW w:w="1608" w:type="dxa"/>
          </w:tcPr>
          <w:p w14:paraId="7AA76269" w14:textId="735C3E97" w:rsidR="00890444" w:rsidRPr="00541AF5" w:rsidRDefault="00890444" w:rsidP="00890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18.20-18.</w:t>
            </w:r>
            <w:r w:rsidR="0063694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44" w:type="dxa"/>
          </w:tcPr>
          <w:p w14:paraId="027744BE" w14:textId="77777777" w:rsidR="00890444" w:rsidRPr="00541AF5" w:rsidRDefault="00890444" w:rsidP="00890444">
            <w:pPr>
              <w:rPr>
                <w:rFonts w:ascii="Arial" w:hAnsi="Arial" w:cs="Arial"/>
                <w:sz w:val="20"/>
                <w:szCs w:val="20"/>
              </w:rPr>
            </w:pPr>
            <w:r w:rsidRPr="00541AF5">
              <w:rPr>
                <w:rFonts w:ascii="Arial" w:hAnsi="Arial" w:cs="Arial"/>
                <w:sz w:val="20"/>
                <w:szCs w:val="20"/>
              </w:rPr>
              <w:t>Afsluiting</w:t>
            </w:r>
          </w:p>
        </w:tc>
        <w:tc>
          <w:tcPr>
            <w:tcW w:w="3615" w:type="dxa"/>
          </w:tcPr>
          <w:p w14:paraId="3494E465" w14:textId="2FB1306D" w:rsidR="00890444" w:rsidRPr="00890444" w:rsidRDefault="00890444" w:rsidP="008904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0444">
              <w:rPr>
                <w:rFonts w:ascii="Arial" w:hAnsi="Arial" w:cs="Arial"/>
                <w:lang w:val="en-US"/>
              </w:rPr>
              <w:t xml:space="preserve">Claudia Folman </w:t>
            </w:r>
          </w:p>
        </w:tc>
      </w:tr>
    </w:tbl>
    <w:p w14:paraId="6E44EAB0" w14:textId="70B3C9B5" w:rsidR="007A13D1" w:rsidRPr="00890444" w:rsidRDefault="007A13D1">
      <w:pPr>
        <w:rPr>
          <w:rFonts w:ascii="Arial" w:hAnsi="Arial" w:cs="Arial"/>
          <w:lang w:val="en-US"/>
        </w:rPr>
      </w:pPr>
    </w:p>
    <w:p w14:paraId="64EC60F0" w14:textId="77777777" w:rsidR="000C44B1" w:rsidRDefault="00AE2DE2">
      <w:pPr>
        <w:rPr>
          <w:rFonts w:ascii="Arial" w:hAnsi="Arial" w:cs="Arial"/>
          <w:lang w:val="nl-NL"/>
        </w:rPr>
      </w:pPr>
      <w:r w:rsidRPr="00C92601">
        <w:rPr>
          <w:rFonts w:ascii="Arial" w:hAnsi="Arial" w:cs="Arial"/>
          <w:lang w:val="nl-NL"/>
        </w:rPr>
        <w:t xml:space="preserve">Accreditatie is aangevraagd bij </w:t>
      </w:r>
      <w:r w:rsidR="007C662E" w:rsidRPr="00C92601">
        <w:rPr>
          <w:rFonts w:ascii="Arial" w:hAnsi="Arial" w:cs="Arial"/>
          <w:lang w:val="nl-NL"/>
        </w:rPr>
        <w:t>ABSG</w:t>
      </w:r>
      <w:r w:rsidRPr="00C92601">
        <w:rPr>
          <w:rFonts w:ascii="Arial" w:hAnsi="Arial" w:cs="Arial"/>
          <w:lang w:val="nl-NL"/>
        </w:rPr>
        <w:t>, NVKC</w:t>
      </w:r>
      <w:r w:rsidR="00A00923">
        <w:rPr>
          <w:rFonts w:ascii="Arial" w:hAnsi="Arial" w:cs="Arial"/>
          <w:lang w:val="nl-NL"/>
        </w:rPr>
        <w:t>, NVML</w:t>
      </w:r>
      <w:r w:rsidRPr="00C92601">
        <w:rPr>
          <w:rFonts w:ascii="Arial" w:hAnsi="Arial" w:cs="Arial"/>
          <w:lang w:val="nl-NL"/>
        </w:rPr>
        <w:t xml:space="preserve"> en NIV</w:t>
      </w:r>
    </w:p>
    <w:p w14:paraId="5B4FD2E5" w14:textId="37BFA1AE" w:rsidR="00890444" w:rsidRDefault="00890444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br w:type="page"/>
      </w:r>
    </w:p>
    <w:p w14:paraId="1686D052" w14:textId="77777777" w:rsidR="00890444" w:rsidRPr="00890444" w:rsidRDefault="00890444" w:rsidP="00890444">
      <w:pPr>
        <w:rPr>
          <w:rFonts w:ascii="Arial" w:hAnsi="Arial" w:cs="Arial"/>
          <w:lang w:val="nl-NL"/>
        </w:rPr>
      </w:pPr>
    </w:p>
    <w:p w14:paraId="26E12C25" w14:textId="77777777" w:rsidR="008962A5" w:rsidRPr="008962A5" w:rsidRDefault="008962A5" w:rsidP="008962A5">
      <w:pPr>
        <w:rPr>
          <w:rFonts w:ascii="Arial" w:hAnsi="Arial" w:cs="Arial"/>
          <w:lang w:val="nl-NL"/>
        </w:rPr>
      </w:pPr>
      <w:r w:rsidRPr="008962A5">
        <w:rPr>
          <w:rFonts w:ascii="Arial" w:hAnsi="Arial" w:cs="Arial"/>
          <w:lang w:val="nl-NL"/>
        </w:rPr>
        <w:t>Leerdoelen:</w:t>
      </w:r>
    </w:p>
    <w:p w14:paraId="27675A64" w14:textId="77777777" w:rsidR="008962A5" w:rsidRPr="008962A5" w:rsidRDefault="008962A5" w:rsidP="008962A5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8962A5">
        <w:rPr>
          <w:rFonts w:ascii="Arial" w:hAnsi="Arial" w:cs="Arial"/>
          <w:lang w:val="nl-NL"/>
        </w:rPr>
        <w:t>Kennisnemen van het vaststellen van de specificiteit van erytrocyten antistoffen.</w:t>
      </w:r>
    </w:p>
    <w:p w14:paraId="5E78A22F" w14:textId="1D895850" w:rsidR="00E05181" w:rsidRDefault="00E05181" w:rsidP="008962A5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Kennisnemen van antistoffen tegen een hoog frequente antigeen.</w:t>
      </w:r>
    </w:p>
    <w:p w14:paraId="390DA52B" w14:textId="1D63E76F" w:rsidR="00E05181" w:rsidRPr="00E05181" w:rsidRDefault="00E05181" w:rsidP="00E05181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8962A5">
        <w:rPr>
          <w:rFonts w:ascii="Arial" w:hAnsi="Arial" w:cs="Arial"/>
          <w:lang w:val="nl-NL"/>
        </w:rPr>
        <w:t>Kennisnemen van het beleid van selectie van eenheden voor transfusie als erytrocyten antistoffen aantoonbaar zijn.</w:t>
      </w:r>
    </w:p>
    <w:p w14:paraId="3E1D8F5A" w14:textId="727AF490" w:rsidR="008962A5" w:rsidRPr="008962A5" w:rsidRDefault="008962A5" w:rsidP="008962A5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8962A5">
        <w:rPr>
          <w:rFonts w:ascii="Arial" w:hAnsi="Arial" w:cs="Arial"/>
          <w:lang w:val="nl-NL"/>
        </w:rPr>
        <w:t xml:space="preserve">Kennisnemen van </w:t>
      </w:r>
      <w:proofErr w:type="spellStart"/>
      <w:r w:rsidR="00E05181">
        <w:rPr>
          <w:rFonts w:ascii="Arial" w:hAnsi="Arial" w:cs="Arial"/>
          <w:lang w:val="nl-NL"/>
        </w:rPr>
        <w:t>immunohematologisch</w:t>
      </w:r>
      <w:proofErr w:type="spellEnd"/>
      <w:r w:rsidR="00E05181">
        <w:rPr>
          <w:rFonts w:ascii="Arial" w:hAnsi="Arial" w:cs="Arial"/>
          <w:lang w:val="nl-NL"/>
        </w:rPr>
        <w:t xml:space="preserve"> onderzoek bij transfusiereacties</w:t>
      </w:r>
      <w:r w:rsidRPr="008962A5">
        <w:rPr>
          <w:rFonts w:ascii="Arial" w:hAnsi="Arial" w:cs="Arial"/>
          <w:lang w:val="nl-NL"/>
        </w:rPr>
        <w:t>.</w:t>
      </w:r>
    </w:p>
    <w:p w14:paraId="1304FA24" w14:textId="0F114C89" w:rsidR="00890444" w:rsidRPr="008962A5" w:rsidRDefault="008962A5" w:rsidP="008962A5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8962A5">
        <w:rPr>
          <w:rFonts w:ascii="Arial" w:hAnsi="Arial" w:cs="Arial"/>
          <w:lang w:val="nl-NL"/>
        </w:rPr>
        <w:t>Kennisnemen van genetische variatie in het Rh systeem.</w:t>
      </w:r>
      <w:r w:rsidR="00890444" w:rsidRPr="008962A5">
        <w:rPr>
          <w:rFonts w:ascii="Arial" w:hAnsi="Arial" w:cs="Arial"/>
          <w:lang w:val="nl-NL"/>
        </w:rPr>
        <w:tab/>
      </w:r>
      <w:r w:rsidR="00890444" w:rsidRPr="008962A5">
        <w:rPr>
          <w:rFonts w:ascii="Arial" w:hAnsi="Arial" w:cs="Arial"/>
          <w:lang w:val="nl-NL"/>
        </w:rPr>
        <w:tab/>
      </w:r>
      <w:r w:rsidR="00890444" w:rsidRPr="008962A5">
        <w:rPr>
          <w:rFonts w:ascii="Arial" w:hAnsi="Arial" w:cs="Arial"/>
          <w:lang w:val="nl-NL"/>
        </w:rPr>
        <w:tab/>
      </w:r>
    </w:p>
    <w:p w14:paraId="32E8FA11" w14:textId="77777777" w:rsidR="008962A5" w:rsidRDefault="008962A5" w:rsidP="00890444">
      <w:pPr>
        <w:rPr>
          <w:rFonts w:ascii="Arial" w:hAnsi="Arial" w:cs="Arial"/>
          <w:lang w:val="nl-NL"/>
        </w:rPr>
      </w:pPr>
    </w:p>
    <w:p w14:paraId="38C91D4E" w14:textId="2AFF5D12" w:rsidR="008962A5" w:rsidRDefault="008962A5" w:rsidP="00890444">
      <w:pPr>
        <w:rPr>
          <w:rFonts w:ascii="Arial" w:hAnsi="Arial" w:cs="Arial"/>
          <w:lang w:val="nl-NL"/>
        </w:rPr>
      </w:pPr>
      <w:r w:rsidRPr="00890444">
        <w:rPr>
          <w:rFonts w:ascii="Arial" w:hAnsi="Arial" w:cs="Arial"/>
          <w:lang w:val="nl-NL"/>
        </w:rPr>
        <w:t>Onderwerpen voor accreditatie</w:t>
      </w:r>
      <w:r w:rsidR="00CC09C3">
        <w:rPr>
          <w:rFonts w:ascii="Arial" w:hAnsi="Arial" w:cs="Arial"/>
          <w:lang w:val="nl-NL"/>
        </w:rPr>
        <w:t>:</w:t>
      </w:r>
    </w:p>
    <w:p w14:paraId="40FCF92A" w14:textId="2ECE3B63" w:rsidR="00890444" w:rsidRPr="00890444" w:rsidRDefault="00890444" w:rsidP="00890444">
      <w:pPr>
        <w:rPr>
          <w:rFonts w:ascii="Arial" w:hAnsi="Arial" w:cs="Arial"/>
          <w:lang w:val="nl-NL"/>
        </w:rPr>
      </w:pPr>
      <w:r w:rsidRPr="00890444">
        <w:rPr>
          <w:rFonts w:ascii="Arial" w:hAnsi="Arial" w:cs="Arial"/>
          <w:lang w:val="nl-NL"/>
        </w:rPr>
        <w:t xml:space="preserve">Running in </w:t>
      </w:r>
      <w:proofErr w:type="spellStart"/>
      <w:r w:rsidRPr="00890444">
        <w:rPr>
          <w:rFonts w:ascii="Arial" w:hAnsi="Arial" w:cs="Arial"/>
          <w:lang w:val="nl-NL"/>
        </w:rPr>
        <w:t>the</w:t>
      </w:r>
      <w:proofErr w:type="spellEnd"/>
      <w:r w:rsidRPr="00890444">
        <w:rPr>
          <w:rFonts w:ascii="Arial" w:hAnsi="Arial" w:cs="Arial"/>
          <w:lang w:val="nl-NL"/>
        </w:rPr>
        <w:t xml:space="preserve"> family</w:t>
      </w:r>
      <w:r w:rsidRPr="00890444">
        <w:rPr>
          <w:rFonts w:ascii="Arial" w:hAnsi="Arial" w:cs="Arial"/>
          <w:lang w:val="nl-NL"/>
        </w:rPr>
        <w:tab/>
      </w:r>
      <w:r w:rsidRPr="00890444">
        <w:rPr>
          <w:rFonts w:ascii="Arial" w:hAnsi="Arial" w:cs="Arial"/>
          <w:lang w:val="nl-NL"/>
        </w:rPr>
        <w:tab/>
        <w:t>Beschrijving van een familie met afwijkende Rh expressie</w:t>
      </w:r>
    </w:p>
    <w:p w14:paraId="43EFA20A" w14:textId="6D01F50F" w:rsidR="00890444" w:rsidRPr="00890444" w:rsidRDefault="00890444" w:rsidP="00890444">
      <w:pPr>
        <w:ind w:left="2880" w:hanging="2880"/>
        <w:rPr>
          <w:rFonts w:ascii="Arial" w:hAnsi="Arial" w:cs="Arial"/>
          <w:lang w:val="nl-NL"/>
        </w:rPr>
      </w:pPr>
      <w:r w:rsidRPr="00890444">
        <w:rPr>
          <w:rFonts w:ascii="Arial" w:hAnsi="Arial" w:cs="Arial"/>
          <w:lang w:val="nl-NL"/>
        </w:rPr>
        <w:t xml:space="preserve">Bombay to </w:t>
      </w:r>
      <w:proofErr w:type="spellStart"/>
      <w:r w:rsidRPr="00890444">
        <w:rPr>
          <w:rFonts w:ascii="Arial" w:hAnsi="Arial" w:cs="Arial"/>
          <w:lang w:val="nl-NL"/>
        </w:rPr>
        <w:t>Punjap</w:t>
      </w:r>
      <w:proofErr w:type="spellEnd"/>
      <w:r w:rsidRPr="00890444">
        <w:rPr>
          <w:rFonts w:ascii="Arial" w:hAnsi="Arial" w:cs="Arial"/>
          <w:lang w:val="nl-NL"/>
        </w:rPr>
        <w:tab/>
        <w:t>Casus van een antistof tegen een hoog frequent antigeen met transfusie vraagstelling</w:t>
      </w:r>
    </w:p>
    <w:p w14:paraId="5B28350B" w14:textId="0399639E" w:rsidR="00890444" w:rsidRPr="00890444" w:rsidRDefault="00890444" w:rsidP="00890444">
      <w:pPr>
        <w:ind w:left="2880" w:hanging="2880"/>
        <w:rPr>
          <w:rFonts w:ascii="Arial" w:hAnsi="Arial" w:cs="Arial"/>
          <w:lang w:val="nl-NL"/>
        </w:rPr>
      </w:pPr>
      <w:r w:rsidRPr="00890444">
        <w:rPr>
          <w:rFonts w:ascii="Arial" w:hAnsi="Arial" w:cs="Arial"/>
          <w:lang w:val="nl-NL"/>
        </w:rPr>
        <w:t xml:space="preserve">The </w:t>
      </w:r>
      <w:proofErr w:type="spellStart"/>
      <w:r w:rsidRPr="00890444">
        <w:rPr>
          <w:rFonts w:ascii="Arial" w:hAnsi="Arial" w:cs="Arial"/>
          <w:lang w:val="nl-NL"/>
        </w:rPr>
        <w:t>scientist</w:t>
      </w:r>
      <w:proofErr w:type="spellEnd"/>
      <w:r w:rsidRPr="00890444">
        <w:rPr>
          <w:rFonts w:ascii="Arial" w:hAnsi="Arial" w:cs="Arial"/>
          <w:lang w:val="nl-NL"/>
        </w:rPr>
        <w:tab/>
        <w:t>Casus van een antistof tegen een hoog frequent antigeen met transfusie vraagstelling rond bevalling</w:t>
      </w:r>
    </w:p>
    <w:p w14:paraId="3087D7EA" w14:textId="7F5541B6" w:rsidR="00890444" w:rsidRPr="00890444" w:rsidRDefault="00890444" w:rsidP="00890444">
      <w:pPr>
        <w:rPr>
          <w:rFonts w:ascii="Arial" w:hAnsi="Arial" w:cs="Arial"/>
          <w:lang w:val="nl-NL"/>
        </w:rPr>
      </w:pPr>
      <w:r w:rsidRPr="00890444">
        <w:rPr>
          <w:rFonts w:ascii="Arial" w:hAnsi="Arial" w:cs="Arial"/>
          <w:lang w:val="nl-NL"/>
        </w:rPr>
        <w:t xml:space="preserve">Chain </w:t>
      </w:r>
      <w:proofErr w:type="spellStart"/>
      <w:r w:rsidRPr="00890444">
        <w:rPr>
          <w:rFonts w:ascii="Arial" w:hAnsi="Arial" w:cs="Arial"/>
          <w:lang w:val="nl-NL"/>
        </w:rPr>
        <w:t>reaction</w:t>
      </w:r>
      <w:proofErr w:type="spellEnd"/>
      <w:r w:rsidRPr="00890444">
        <w:rPr>
          <w:rFonts w:ascii="Arial" w:hAnsi="Arial" w:cs="Arial"/>
          <w:lang w:val="nl-NL"/>
        </w:rPr>
        <w:tab/>
      </w:r>
      <w:r w:rsidRPr="00890444">
        <w:rPr>
          <w:rFonts w:ascii="Arial" w:hAnsi="Arial" w:cs="Arial"/>
          <w:lang w:val="nl-NL"/>
        </w:rPr>
        <w:tab/>
      </w:r>
      <w:r w:rsidRPr="00890444">
        <w:rPr>
          <w:rFonts w:ascii="Arial" w:hAnsi="Arial" w:cs="Arial"/>
          <w:lang w:val="nl-NL"/>
        </w:rPr>
        <w:tab/>
        <w:t xml:space="preserve">Casus van transfusiereactie bij kind </w:t>
      </w:r>
    </w:p>
    <w:p w14:paraId="6672FB94" w14:textId="77777777" w:rsidR="00890444" w:rsidRPr="00890444" w:rsidRDefault="00890444" w:rsidP="00890444">
      <w:pPr>
        <w:rPr>
          <w:rFonts w:ascii="Arial" w:hAnsi="Arial" w:cs="Arial"/>
          <w:lang w:val="nl-NL"/>
        </w:rPr>
      </w:pPr>
      <w:r w:rsidRPr="00890444">
        <w:rPr>
          <w:rFonts w:ascii="Arial" w:hAnsi="Arial" w:cs="Arial"/>
          <w:lang w:val="nl-NL"/>
        </w:rPr>
        <w:t xml:space="preserve">Bad </w:t>
      </w:r>
      <w:proofErr w:type="spellStart"/>
      <w:r w:rsidRPr="00890444">
        <w:rPr>
          <w:rFonts w:ascii="Arial" w:hAnsi="Arial" w:cs="Arial"/>
          <w:lang w:val="nl-NL"/>
        </w:rPr>
        <w:t>medicine</w:t>
      </w:r>
      <w:proofErr w:type="spellEnd"/>
      <w:r w:rsidRPr="00890444">
        <w:rPr>
          <w:rFonts w:ascii="Arial" w:hAnsi="Arial" w:cs="Arial"/>
          <w:lang w:val="nl-NL"/>
        </w:rPr>
        <w:tab/>
      </w:r>
      <w:r w:rsidRPr="00890444">
        <w:rPr>
          <w:rFonts w:ascii="Arial" w:hAnsi="Arial" w:cs="Arial"/>
          <w:lang w:val="nl-NL"/>
        </w:rPr>
        <w:tab/>
      </w:r>
      <w:r w:rsidRPr="00890444">
        <w:rPr>
          <w:rFonts w:ascii="Arial" w:hAnsi="Arial" w:cs="Arial"/>
          <w:lang w:val="nl-NL"/>
        </w:rPr>
        <w:tab/>
        <w:t>Casus met hemolyse door medicijn gebruik</w:t>
      </w:r>
    </w:p>
    <w:p w14:paraId="4DAA7344" w14:textId="2E8F63B7" w:rsidR="00C92601" w:rsidRPr="00C92601" w:rsidRDefault="00890444" w:rsidP="00890444">
      <w:pPr>
        <w:rPr>
          <w:rFonts w:ascii="Arial" w:hAnsi="Arial" w:cs="Arial"/>
          <w:lang w:val="nl-NL"/>
        </w:rPr>
      </w:pPr>
      <w:proofErr w:type="spellStart"/>
      <w:r w:rsidRPr="00890444">
        <w:rPr>
          <w:rFonts w:ascii="Arial" w:hAnsi="Arial" w:cs="Arial"/>
          <w:lang w:val="nl-NL"/>
        </w:rPr>
        <w:t>Let’s</w:t>
      </w:r>
      <w:proofErr w:type="spellEnd"/>
      <w:r w:rsidRPr="00890444">
        <w:rPr>
          <w:rFonts w:ascii="Arial" w:hAnsi="Arial" w:cs="Arial"/>
          <w:lang w:val="nl-NL"/>
        </w:rPr>
        <w:t xml:space="preserve"> stick </w:t>
      </w:r>
      <w:proofErr w:type="spellStart"/>
      <w:r w:rsidRPr="00890444">
        <w:rPr>
          <w:rFonts w:ascii="Arial" w:hAnsi="Arial" w:cs="Arial"/>
          <w:lang w:val="nl-NL"/>
        </w:rPr>
        <w:t>together</w:t>
      </w:r>
      <w:proofErr w:type="spellEnd"/>
      <w:r w:rsidRPr="00890444"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 w:rsidRPr="00890444">
        <w:rPr>
          <w:rFonts w:ascii="Arial" w:hAnsi="Arial" w:cs="Arial"/>
          <w:lang w:val="nl-NL"/>
        </w:rPr>
        <w:t xml:space="preserve">Casus van twee familieleden met een bloedgroep </w:t>
      </w:r>
      <w:proofErr w:type="spellStart"/>
      <w:r w:rsidRPr="00890444">
        <w:rPr>
          <w:rFonts w:ascii="Arial" w:hAnsi="Arial" w:cs="Arial"/>
          <w:lang w:val="nl-NL"/>
        </w:rPr>
        <w:t>chimerisme</w:t>
      </w:r>
      <w:proofErr w:type="spellEnd"/>
    </w:p>
    <w:sectPr w:rsidR="00C92601" w:rsidRPr="00C92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51ABD"/>
    <w:multiLevelType w:val="hybridMultilevel"/>
    <w:tmpl w:val="E6D8AE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3D1"/>
    <w:rsid w:val="00014BA1"/>
    <w:rsid w:val="00085BC2"/>
    <w:rsid w:val="00095600"/>
    <w:rsid w:val="000A62F7"/>
    <w:rsid w:val="000C44B1"/>
    <w:rsid w:val="000E377D"/>
    <w:rsid w:val="00115845"/>
    <w:rsid w:val="00150A26"/>
    <w:rsid w:val="001B09C8"/>
    <w:rsid w:val="00226FAF"/>
    <w:rsid w:val="00283B73"/>
    <w:rsid w:val="0029483E"/>
    <w:rsid w:val="002E13E8"/>
    <w:rsid w:val="002E1D01"/>
    <w:rsid w:val="00361674"/>
    <w:rsid w:val="003753C5"/>
    <w:rsid w:val="003A1E9A"/>
    <w:rsid w:val="003F415D"/>
    <w:rsid w:val="00425A64"/>
    <w:rsid w:val="00453286"/>
    <w:rsid w:val="004A3979"/>
    <w:rsid w:val="004D22FF"/>
    <w:rsid w:val="004D293F"/>
    <w:rsid w:val="00524161"/>
    <w:rsid w:val="005366BE"/>
    <w:rsid w:val="00541AF5"/>
    <w:rsid w:val="00636949"/>
    <w:rsid w:val="0064742B"/>
    <w:rsid w:val="006C51C5"/>
    <w:rsid w:val="007333B9"/>
    <w:rsid w:val="007454CE"/>
    <w:rsid w:val="0076333B"/>
    <w:rsid w:val="00766689"/>
    <w:rsid w:val="007842E3"/>
    <w:rsid w:val="007A13D1"/>
    <w:rsid w:val="007C662E"/>
    <w:rsid w:val="007F4FA2"/>
    <w:rsid w:val="00806727"/>
    <w:rsid w:val="00807153"/>
    <w:rsid w:val="00847E74"/>
    <w:rsid w:val="008665E4"/>
    <w:rsid w:val="00890444"/>
    <w:rsid w:val="008962A5"/>
    <w:rsid w:val="008A1066"/>
    <w:rsid w:val="008A3179"/>
    <w:rsid w:val="00961DC1"/>
    <w:rsid w:val="00970498"/>
    <w:rsid w:val="00984675"/>
    <w:rsid w:val="009A2ED8"/>
    <w:rsid w:val="009A6180"/>
    <w:rsid w:val="009D7126"/>
    <w:rsid w:val="009F70BE"/>
    <w:rsid w:val="00A00923"/>
    <w:rsid w:val="00AE2DE2"/>
    <w:rsid w:val="00AF0575"/>
    <w:rsid w:val="00B201CC"/>
    <w:rsid w:val="00B306D3"/>
    <w:rsid w:val="00B55D38"/>
    <w:rsid w:val="00B756BE"/>
    <w:rsid w:val="00BD25DF"/>
    <w:rsid w:val="00C57E8A"/>
    <w:rsid w:val="00C92601"/>
    <w:rsid w:val="00CA6E76"/>
    <w:rsid w:val="00CC09C3"/>
    <w:rsid w:val="00D564F4"/>
    <w:rsid w:val="00DE295B"/>
    <w:rsid w:val="00E05181"/>
    <w:rsid w:val="00E22668"/>
    <w:rsid w:val="00E43761"/>
    <w:rsid w:val="00E46DCD"/>
    <w:rsid w:val="00E540EC"/>
    <w:rsid w:val="00E5417E"/>
    <w:rsid w:val="00EF7021"/>
    <w:rsid w:val="00F16377"/>
    <w:rsid w:val="00F81742"/>
    <w:rsid w:val="00FC3341"/>
    <w:rsid w:val="00FD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4ACF3"/>
  <w15:chartTrackingRefBased/>
  <w15:docId w15:val="{30DD7F48-E20C-4991-A990-6B463229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7A13D1"/>
    <w:rPr>
      <w:color w:val="0000FF"/>
      <w:u w:val="single"/>
    </w:rPr>
  </w:style>
  <w:style w:type="table" w:styleId="Tabelraster">
    <w:name w:val="Table Grid"/>
    <w:basedOn w:val="Standaardtabel"/>
    <w:uiPriority w:val="39"/>
    <w:rsid w:val="007A13D1"/>
    <w:pPr>
      <w:spacing w:after="0" w:line="240" w:lineRule="auto"/>
    </w:pPr>
    <w:rPr>
      <w:rFonts w:ascii="Univers" w:hAnsi="Univers"/>
      <w:sz w:val="19"/>
      <w:szCs w:val="19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A1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1E9A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896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7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186123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3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0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2014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Sanquin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Lieshout-Krikke, Ryanne</dc:creator>
  <cp:keywords/>
  <dc:description/>
  <cp:lastModifiedBy>Wagenaar, Anouk</cp:lastModifiedBy>
  <cp:revision>2</cp:revision>
  <cp:lastPrinted>2018-12-17T10:39:00Z</cp:lastPrinted>
  <dcterms:created xsi:type="dcterms:W3CDTF">2021-12-28T12:59:00Z</dcterms:created>
  <dcterms:modified xsi:type="dcterms:W3CDTF">2021-12-28T12:59:00Z</dcterms:modified>
</cp:coreProperties>
</file>